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3F" w:rsidRDefault="0035043F" w:rsidP="0035043F">
      <w:pPr>
        <w:autoSpaceDE w:val="0"/>
        <w:autoSpaceDN w:val="0"/>
        <w:adjustRightInd w:val="0"/>
        <w:ind w:left="-720"/>
        <w:rPr>
          <w:rFonts w:ascii="Arial" w:hAnsi="Arial" w:cs="Arial"/>
          <w:sz w:val="20"/>
          <w:szCs w:val="20"/>
        </w:rPr>
      </w:pPr>
    </w:p>
    <w:p w:rsidR="008A4223" w:rsidRPr="0035043F" w:rsidRDefault="008A4223" w:rsidP="0035043F">
      <w:pPr>
        <w:autoSpaceDE w:val="0"/>
        <w:autoSpaceDN w:val="0"/>
        <w:adjustRightInd w:val="0"/>
        <w:ind w:left="-720"/>
        <w:rPr>
          <w:rFonts w:ascii="Arial" w:hAnsi="Arial" w:cs="Arial"/>
          <w:b/>
          <w:bCs/>
          <w:sz w:val="22"/>
          <w:szCs w:val="22"/>
          <w:u w:val="single"/>
        </w:rPr>
      </w:pPr>
      <w:r w:rsidRPr="0035043F">
        <w:rPr>
          <w:rFonts w:ascii="Arial" w:hAnsi="Arial" w:cs="Arial"/>
          <w:sz w:val="22"/>
          <w:szCs w:val="22"/>
        </w:rPr>
        <w:t xml:space="preserve">In </w:t>
      </w:r>
      <w:r w:rsidRPr="0035043F">
        <w:rPr>
          <w:rFonts w:ascii="Arial" w:hAnsi="Arial" w:cs="Arial"/>
          <w:sz w:val="22"/>
          <w:szCs w:val="22"/>
          <w:u w:val="single"/>
        </w:rPr>
        <w:t>Classroom Instruction that Works: Research-based Strategies for Increasing Student Achievement</w:t>
      </w:r>
      <w:r w:rsidRPr="0035043F">
        <w:rPr>
          <w:rFonts w:ascii="Arial" w:hAnsi="Arial" w:cs="Arial"/>
          <w:sz w:val="22"/>
          <w:szCs w:val="22"/>
        </w:rPr>
        <w:t>, Robert Marzano (2001) and his colleagues identify nine high-yield instructional strategies through a meta-analysis of over 100 independent studies. They determined that these nine strategies have the greatest positive affect on student achievement for all students, in all subject areas, at all grade levels. Marzano’s nine</w:t>
      </w:r>
      <w:r w:rsidR="00D2564A" w:rsidRPr="0035043F">
        <w:rPr>
          <w:rFonts w:ascii="Arial" w:hAnsi="Arial" w:cs="Arial"/>
          <w:sz w:val="22"/>
          <w:szCs w:val="22"/>
        </w:rPr>
        <w:t xml:space="preserve"> </w:t>
      </w:r>
      <w:r w:rsidRPr="0035043F">
        <w:rPr>
          <w:rFonts w:ascii="Arial" w:hAnsi="Arial" w:cs="Arial"/>
          <w:sz w:val="22"/>
          <w:szCs w:val="22"/>
        </w:rPr>
        <w:t>high-yield instructional strategies are summarized in the table that follows.</w:t>
      </w:r>
    </w:p>
    <w:p w:rsidR="008A4223" w:rsidRPr="00620408" w:rsidRDefault="008A4223" w:rsidP="008A4223">
      <w:pPr>
        <w:rPr>
          <w:rFonts w:ascii="Arial" w:hAnsi="Arial" w:cs="Arial"/>
          <w:sz w:val="10"/>
          <w:szCs w:val="1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4130"/>
        <w:gridCol w:w="4083"/>
      </w:tblGrid>
      <w:tr w:rsidR="008A4223" w:rsidRPr="00C11843" w:rsidTr="00C11843">
        <w:tc>
          <w:tcPr>
            <w:tcW w:w="1867" w:type="dxa"/>
            <w:vAlign w:val="center"/>
          </w:tcPr>
          <w:p w:rsidR="008A4223" w:rsidRPr="00C11843" w:rsidRDefault="008A4223" w:rsidP="00C11843">
            <w:pPr>
              <w:jc w:val="center"/>
              <w:rPr>
                <w:rFonts w:ascii="Arial" w:hAnsi="Arial" w:cs="Arial"/>
                <w:b/>
                <w:sz w:val="20"/>
                <w:szCs w:val="20"/>
              </w:rPr>
            </w:pPr>
            <w:r w:rsidRPr="00C11843">
              <w:rPr>
                <w:rFonts w:ascii="Arial" w:hAnsi="Arial" w:cs="Arial"/>
                <w:b/>
                <w:sz w:val="20"/>
                <w:szCs w:val="20"/>
              </w:rPr>
              <w:t>High Yield Instructional Strategies</w:t>
            </w:r>
          </w:p>
        </w:tc>
        <w:tc>
          <w:tcPr>
            <w:tcW w:w="4130" w:type="dxa"/>
            <w:vAlign w:val="center"/>
          </w:tcPr>
          <w:p w:rsidR="008A4223" w:rsidRPr="00C11843" w:rsidRDefault="008A4223" w:rsidP="00C11843">
            <w:pPr>
              <w:jc w:val="center"/>
              <w:rPr>
                <w:rFonts w:ascii="Arial" w:hAnsi="Arial" w:cs="Arial"/>
                <w:b/>
                <w:sz w:val="20"/>
                <w:szCs w:val="20"/>
              </w:rPr>
            </w:pPr>
            <w:r w:rsidRPr="00C11843">
              <w:rPr>
                <w:rFonts w:ascii="Arial" w:hAnsi="Arial" w:cs="Arial"/>
                <w:b/>
                <w:sz w:val="20"/>
                <w:szCs w:val="20"/>
              </w:rPr>
              <w:t>Research says</w:t>
            </w:r>
          </w:p>
        </w:tc>
        <w:tc>
          <w:tcPr>
            <w:tcW w:w="4083" w:type="dxa"/>
            <w:vAlign w:val="center"/>
          </w:tcPr>
          <w:p w:rsidR="008A4223" w:rsidRPr="00C11843" w:rsidRDefault="008A4223" w:rsidP="00C11843">
            <w:pPr>
              <w:jc w:val="center"/>
              <w:rPr>
                <w:rFonts w:ascii="Arial" w:hAnsi="Arial" w:cs="Arial"/>
                <w:b/>
                <w:sz w:val="20"/>
                <w:szCs w:val="20"/>
              </w:rPr>
            </w:pPr>
            <w:r w:rsidRPr="00C11843">
              <w:rPr>
                <w:rFonts w:ascii="Arial" w:hAnsi="Arial" w:cs="Arial"/>
                <w:b/>
                <w:sz w:val="20"/>
                <w:szCs w:val="20"/>
              </w:rPr>
              <w:t>Examples</w:t>
            </w:r>
          </w:p>
        </w:tc>
      </w:tr>
      <w:tr w:rsidR="008A4223" w:rsidRPr="00C11843" w:rsidTr="00C11843">
        <w:trPr>
          <w:trHeight w:val="1340"/>
        </w:trPr>
        <w:tc>
          <w:tcPr>
            <w:tcW w:w="1867" w:type="dxa"/>
            <w:tcBorders>
              <w:bottom w:val="single" w:sz="4" w:space="0" w:color="auto"/>
            </w:tcBorders>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Identifying similarities and differences</w:t>
            </w:r>
          </w:p>
        </w:tc>
        <w:tc>
          <w:tcPr>
            <w:tcW w:w="4130"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Students should compare, classify, and create metaphors, analogies and graphic representations</w:t>
            </w:r>
          </w:p>
        </w:tc>
        <w:tc>
          <w:tcPr>
            <w:tcW w:w="4083"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 xml:space="preserve">T-charts, Venn diagrams, classifying, analogies, cause and effect links, compare and contrast organizers, </w:t>
            </w:r>
            <w:r w:rsidRPr="00C11843">
              <w:rPr>
                <w:rFonts w:ascii="Arial" w:hAnsi="Arial" w:cs="Arial"/>
                <w:b/>
                <w:sz w:val="22"/>
                <w:szCs w:val="22"/>
              </w:rPr>
              <w:t>QAR</w:t>
            </w:r>
            <w:r w:rsidRPr="00C11843">
              <w:rPr>
                <w:rFonts w:ascii="Arial" w:hAnsi="Arial" w:cs="Arial"/>
                <w:sz w:val="22"/>
                <w:szCs w:val="22"/>
              </w:rPr>
              <w:t xml:space="preserve">, </w:t>
            </w:r>
            <w:r w:rsidRPr="00C11843">
              <w:rPr>
                <w:rFonts w:ascii="Arial" w:hAnsi="Arial" w:cs="Arial"/>
                <w:b/>
                <w:sz w:val="22"/>
                <w:szCs w:val="22"/>
              </w:rPr>
              <w:t xml:space="preserve">sketch to stretch, affinity, Frayer model, </w:t>
            </w:r>
            <w:r w:rsidRPr="00C11843">
              <w:rPr>
                <w:rFonts w:ascii="Arial" w:hAnsi="Arial" w:cs="Arial"/>
                <w:sz w:val="22"/>
                <w:szCs w:val="22"/>
              </w:rPr>
              <w:t>etc.</w:t>
            </w:r>
          </w:p>
        </w:tc>
      </w:tr>
      <w:tr w:rsidR="008A4223" w:rsidRPr="00C11843" w:rsidTr="00C11843">
        <w:trPr>
          <w:trHeight w:val="2150"/>
        </w:trPr>
        <w:tc>
          <w:tcPr>
            <w:tcW w:w="1867" w:type="dxa"/>
            <w:shd w:val="clear" w:color="auto" w:fill="E6E6E6"/>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Summarizing and note taking</w:t>
            </w:r>
          </w:p>
        </w:tc>
        <w:tc>
          <w:tcPr>
            <w:tcW w:w="4130" w:type="dxa"/>
            <w:shd w:val="clear" w:color="auto" w:fill="E6E6E6"/>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Students should learn to delete unnecessary information, substitute some information, keep important information, write / rewrite, and analyze information.</w:t>
            </w:r>
          </w:p>
        </w:tc>
        <w:tc>
          <w:tcPr>
            <w:tcW w:w="4083" w:type="dxa"/>
            <w:shd w:val="clear" w:color="auto" w:fill="E6E6E6"/>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 xml:space="preserve">Teacher models summarization techniques, identify key concepts, bullets, outlines, clusters, narrative organizers, journal summaries, break down assignments, create simple reports, </w:t>
            </w:r>
            <w:r w:rsidRPr="00C11843">
              <w:rPr>
                <w:rFonts w:ascii="Arial" w:hAnsi="Arial" w:cs="Arial"/>
                <w:b/>
                <w:sz w:val="22"/>
                <w:szCs w:val="22"/>
              </w:rPr>
              <w:t>quick writes, graphic organizers, column notes</w:t>
            </w:r>
            <w:r w:rsidRPr="00C11843">
              <w:rPr>
                <w:rFonts w:ascii="Arial" w:hAnsi="Arial" w:cs="Arial"/>
                <w:sz w:val="22"/>
                <w:szCs w:val="22"/>
              </w:rPr>
              <w:t xml:space="preserve">, </w:t>
            </w:r>
            <w:r w:rsidRPr="00C11843">
              <w:rPr>
                <w:rFonts w:ascii="Arial" w:hAnsi="Arial" w:cs="Arial"/>
                <w:b/>
                <w:sz w:val="22"/>
                <w:szCs w:val="22"/>
              </w:rPr>
              <w:t xml:space="preserve">affinity, </w:t>
            </w:r>
            <w:r w:rsidRPr="00C11843">
              <w:rPr>
                <w:rFonts w:ascii="Arial" w:hAnsi="Arial" w:cs="Arial"/>
                <w:sz w:val="22"/>
                <w:szCs w:val="22"/>
              </w:rPr>
              <w:t>etc.</w:t>
            </w:r>
          </w:p>
        </w:tc>
      </w:tr>
      <w:tr w:rsidR="008A4223" w:rsidRPr="00C11843" w:rsidTr="00C11843">
        <w:trPr>
          <w:trHeight w:val="1970"/>
        </w:trPr>
        <w:tc>
          <w:tcPr>
            <w:tcW w:w="1867" w:type="dxa"/>
            <w:tcBorders>
              <w:bottom w:val="single" w:sz="4" w:space="0" w:color="auto"/>
            </w:tcBorders>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Reinforcing effort and providing recognition</w:t>
            </w:r>
          </w:p>
        </w:tc>
        <w:tc>
          <w:tcPr>
            <w:tcW w:w="4130" w:type="dxa"/>
            <w:tcBorders>
              <w:bottom w:val="single" w:sz="4" w:space="0" w:color="auto"/>
            </w:tcBorders>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Teachers should reward based on standards of performance; use symbolic recognition rather than just tangible rewards.</w:t>
            </w:r>
          </w:p>
        </w:tc>
        <w:tc>
          <w:tcPr>
            <w:tcW w:w="4083"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 xml:space="preserve">Hold high expectations, display finished products, praise students’ effort, encourage students to share ideas and express their thoughts, honor individual learning styles, conference individually with students, authentic portfolios, stress-free environment etc. </w:t>
            </w:r>
          </w:p>
        </w:tc>
      </w:tr>
      <w:tr w:rsidR="008A4223" w:rsidRPr="00C11843" w:rsidTr="00C11843">
        <w:tc>
          <w:tcPr>
            <w:tcW w:w="1867" w:type="dxa"/>
            <w:shd w:val="clear" w:color="auto" w:fill="E6E6E6"/>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Homework and practice</w:t>
            </w:r>
          </w:p>
        </w:tc>
        <w:tc>
          <w:tcPr>
            <w:tcW w:w="4130" w:type="dxa"/>
            <w:shd w:val="clear" w:color="auto" w:fill="E6E6E6"/>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 xml:space="preserve">Teachers should vary the amount of homework based on student grade level (less at the elementary level, more at the secondary level), keep parent involvement in homework to a minimum, state purpose, and, if assigned, should be </w:t>
            </w:r>
            <w:r w:rsidR="0035043F" w:rsidRPr="00C11843">
              <w:rPr>
                <w:rFonts w:ascii="Arial" w:hAnsi="Arial" w:cs="Arial"/>
                <w:sz w:val="22"/>
                <w:szCs w:val="22"/>
              </w:rPr>
              <w:t>debriefed.</w:t>
            </w:r>
          </w:p>
        </w:tc>
        <w:tc>
          <w:tcPr>
            <w:tcW w:w="4083" w:type="dxa"/>
            <w:shd w:val="clear" w:color="auto" w:fill="E6E6E6"/>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Retell, recite and review learning for the day at home, reflective journals, parents are informed of the goals and objectives, interdisciplinary teams plan together for homework distribution, etc</w:t>
            </w:r>
          </w:p>
        </w:tc>
      </w:tr>
      <w:tr w:rsidR="008A4223" w:rsidRPr="00C11843" w:rsidTr="00C11843">
        <w:trPr>
          <w:trHeight w:val="1448"/>
        </w:trPr>
        <w:tc>
          <w:tcPr>
            <w:tcW w:w="1867" w:type="dxa"/>
            <w:tcBorders>
              <w:bottom w:val="single" w:sz="4" w:space="0" w:color="auto"/>
            </w:tcBorders>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Nonlinguistic representations</w:t>
            </w:r>
          </w:p>
        </w:tc>
        <w:tc>
          <w:tcPr>
            <w:tcW w:w="4130" w:type="dxa"/>
            <w:tcBorders>
              <w:bottom w:val="single" w:sz="4" w:space="0" w:color="auto"/>
            </w:tcBorders>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Students should create graphic representations, models, mental pictures, drawings, pictographs, and participate in kinesthetic activity in order to assimilate knowledge.</w:t>
            </w:r>
          </w:p>
        </w:tc>
        <w:tc>
          <w:tcPr>
            <w:tcW w:w="4083"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 xml:space="preserve">Visual tools and manipulatives, problem-solution organizers, spider webs, diagrams, concept maps, drawings, maps, </w:t>
            </w:r>
            <w:r w:rsidRPr="00C11843">
              <w:rPr>
                <w:rFonts w:ascii="Arial" w:hAnsi="Arial" w:cs="Arial"/>
                <w:b/>
                <w:sz w:val="22"/>
                <w:szCs w:val="22"/>
              </w:rPr>
              <w:t xml:space="preserve">sketch to stretch, K.I.M., </w:t>
            </w:r>
            <w:r w:rsidRPr="00C11843">
              <w:rPr>
                <w:rFonts w:ascii="Arial" w:hAnsi="Arial" w:cs="Arial"/>
                <w:sz w:val="22"/>
                <w:szCs w:val="22"/>
              </w:rPr>
              <w:t>etc.</w:t>
            </w:r>
          </w:p>
        </w:tc>
      </w:tr>
      <w:tr w:rsidR="0035043F" w:rsidRPr="00C11843" w:rsidTr="00C11843">
        <w:trPr>
          <w:trHeight w:val="1448"/>
        </w:trPr>
        <w:tc>
          <w:tcPr>
            <w:tcW w:w="1867" w:type="dxa"/>
            <w:tcBorders>
              <w:bottom w:val="single" w:sz="4" w:space="0" w:color="auto"/>
            </w:tcBorders>
            <w:shd w:val="clear" w:color="auto" w:fill="E6E6E6"/>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Cooperative learning</w:t>
            </w:r>
          </w:p>
        </w:tc>
        <w:tc>
          <w:tcPr>
            <w:tcW w:w="4130" w:type="dxa"/>
            <w:tcBorders>
              <w:bottom w:val="single" w:sz="4" w:space="0" w:color="auto"/>
            </w:tcBorders>
            <w:shd w:val="clear" w:color="auto" w:fill="E6E6E6"/>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Teachers should limit use of ability groups, keep groups small, apply strategy consistently and systematically but not overuse.</w:t>
            </w:r>
          </w:p>
        </w:tc>
        <w:tc>
          <w:tcPr>
            <w:tcW w:w="4083" w:type="dxa"/>
            <w:tcBorders>
              <w:bottom w:val="single" w:sz="4" w:space="0" w:color="auto"/>
            </w:tcBorders>
            <w:shd w:val="clear" w:color="auto" w:fill="E6E6E6"/>
            <w:vAlign w:val="center"/>
          </w:tcPr>
          <w:p w:rsidR="0035043F" w:rsidRPr="00C11843" w:rsidRDefault="0035043F" w:rsidP="004D7881">
            <w:pPr>
              <w:rPr>
                <w:rFonts w:ascii="Arial" w:hAnsi="Arial" w:cs="Arial"/>
                <w:sz w:val="22"/>
                <w:szCs w:val="22"/>
              </w:rPr>
            </w:pPr>
            <w:r w:rsidRPr="00C11843">
              <w:rPr>
                <w:rFonts w:ascii="Arial" w:hAnsi="Arial" w:cs="Arial"/>
                <w:sz w:val="22"/>
                <w:szCs w:val="22"/>
              </w:rPr>
              <w:t xml:space="preserve">Integrate content and language through group engagement, reader’s theatre, pass the pencil, circle of friends, cube it, radio reading, shared reading and writing, plays, science projects, debates, </w:t>
            </w:r>
            <w:r w:rsidRPr="00C11843">
              <w:rPr>
                <w:rFonts w:ascii="Arial" w:hAnsi="Arial" w:cs="Arial"/>
                <w:b/>
                <w:sz w:val="22"/>
                <w:szCs w:val="22"/>
              </w:rPr>
              <w:t>jigsaw</w:t>
            </w:r>
            <w:r w:rsidRPr="00C11843">
              <w:rPr>
                <w:rFonts w:ascii="Arial" w:hAnsi="Arial" w:cs="Arial"/>
                <w:sz w:val="22"/>
                <w:szCs w:val="22"/>
              </w:rPr>
              <w:t xml:space="preserve">, group reports, choral reading, </w:t>
            </w:r>
            <w:r w:rsidRPr="00C11843">
              <w:rPr>
                <w:rFonts w:ascii="Arial" w:hAnsi="Arial" w:cs="Arial"/>
                <w:b/>
                <w:sz w:val="22"/>
                <w:szCs w:val="22"/>
              </w:rPr>
              <w:t xml:space="preserve">affinity, </w:t>
            </w:r>
            <w:r w:rsidRPr="00C11843">
              <w:rPr>
                <w:rFonts w:ascii="Arial" w:hAnsi="Arial" w:cs="Arial"/>
                <w:sz w:val="22"/>
                <w:szCs w:val="22"/>
              </w:rPr>
              <w:t>etc.</w:t>
            </w:r>
          </w:p>
        </w:tc>
      </w:tr>
    </w:tbl>
    <w:p w:rsidR="0035043F" w:rsidRDefault="0035043F">
      <w:r>
        <w:br w:type="page"/>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166"/>
        <w:gridCol w:w="4125"/>
      </w:tblGrid>
      <w:tr w:rsidR="0035043F" w:rsidRPr="00C11843" w:rsidTr="00C11843">
        <w:tc>
          <w:tcPr>
            <w:tcW w:w="1789" w:type="dxa"/>
            <w:shd w:val="clear" w:color="auto" w:fill="E6E6E6"/>
            <w:vAlign w:val="center"/>
          </w:tcPr>
          <w:p w:rsidR="0035043F" w:rsidRPr="00C11843" w:rsidRDefault="0035043F" w:rsidP="00C11843">
            <w:pPr>
              <w:jc w:val="center"/>
              <w:rPr>
                <w:rFonts w:ascii="Arial" w:hAnsi="Arial" w:cs="Arial"/>
                <w:b/>
                <w:sz w:val="20"/>
                <w:szCs w:val="20"/>
              </w:rPr>
            </w:pPr>
            <w:r w:rsidRPr="00C11843">
              <w:rPr>
                <w:rFonts w:ascii="Arial" w:hAnsi="Arial" w:cs="Arial"/>
                <w:b/>
                <w:sz w:val="20"/>
                <w:szCs w:val="20"/>
              </w:rPr>
              <w:t>High Yield Instructional Strategies</w:t>
            </w:r>
          </w:p>
        </w:tc>
        <w:tc>
          <w:tcPr>
            <w:tcW w:w="4166" w:type="dxa"/>
            <w:shd w:val="clear" w:color="auto" w:fill="E6E6E6"/>
            <w:vAlign w:val="center"/>
          </w:tcPr>
          <w:p w:rsidR="0035043F" w:rsidRPr="00C11843" w:rsidRDefault="0035043F" w:rsidP="00C11843">
            <w:pPr>
              <w:jc w:val="center"/>
              <w:rPr>
                <w:rFonts w:ascii="Arial" w:hAnsi="Arial" w:cs="Arial"/>
                <w:b/>
                <w:sz w:val="20"/>
                <w:szCs w:val="20"/>
              </w:rPr>
            </w:pPr>
            <w:r w:rsidRPr="00C11843">
              <w:rPr>
                <w:rFonts w:ascii="Arial" w:hAnsi="Arial" w:cs="Arial"/>
                <w:b/>
                <w:sz w:val="20"/>
                <w:szCs w:val="20"/>
              </w:rPr>
              <w:t>Research says</w:t>
            </w:r>
          </w:p>
        </w:tc>
        <w:tc>
          <w:tcPr>
            <w:tcW w:w="4125" w:type="dxa"/>
            <w:shd w:val="clear" w:color="auto" w:fill="E6E6E6"/>
            <w:vAlign w:val="center"/>
          </w:tcPr>
          <w:p w:rsidR="0035043F" w:rsidRPr="00C11843" w:rsidRDefault="0035043F" w:rsidP="00C11843">
            <w:pPr>
              <w:jc w:val="center"/>
              <w:rPr>
                <w:rFonts w:ascii="Arial" w:hAnsi="Arial" w:cs="Arial"/>
                <w:b/>
                <w:sz w:val="20"/>
                <w:szCs w:val="20"/>
              </w:rPr>
            </w:pPr>
            <w:r w:rsidRPr="00C11843">
              <w:rPr>
                <w:rFonts w:ascii="Arial" w:hAnsi="Arial" w:cs="Arial"/>
                <w:b/>
                <w:sz w:val="20"/>
                <w:szCs w:val="20"/>
              </w:rPr>
              <w:t>Examples</w:t>
            </w:r>
          </w:p>
        </w:tc>
      </w:tr>
      <w:tr w:rsidR="0035043F" w:rsidRPr="00C11843" w:rsidTr="00C11843">
        <w:tc>
          <w:tcPr>
            <w:tcW w:w="1789" w:type="dxa"/>
            <w:tcBorders>
              <w:bottom w:val="single" w:sz="4" w:space="0" w:color="auto"/>
            </w:tcBorders>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Setting objectives and providing feedback</w:t>
            </w:r>
          </w:p>
        </w:tc>
        <w:tc>
          <w:tcPr>
            <w:tcW w:w="4166" w:type="dxa"/>
            <w:tcBorders>
              <w:bottom w:val="single" w:sz="4" w:space="0" w:color="auto"/>
            </w:tcBorders>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Teachers should create specific but flexible goals, allowing some student choice. Teacher feedback should be corrective, timely, and specific to a criterion.</w:t>
            </w:r>
          </w:p>
        </w:tc>
        <w:tc>
          <w:tcPr>
            <w:tcW w:w="4125" w:type="dxa"/>
            <w:tcBorders>
              <w:bottom w:val="single" w:sz="4" w:space="0" w:color="auto"/>
            </w:tcBorders>
            <w:vAlign w:val="center"/>
          </w:tcPr>
          <w:p w:rsidR="0035043F" w:rsidRPr="00C11843" w:rsidRDefault="0035043F" w:rsidP="008702D3">
            <w:pPr>
              <w:rPr>
                <w:rFonts w:ascii="Arial" w:hAnsi="Arial" w:cs="Arial"/>
                <w:sz w:val="22"/>
                <w:szCs w:val="22"/>
              </w:rPr>
            </w:pPr>
            <w:r w:rsidRPr="00C11843">
              <w:rPr>
                <w:rFonts w:ascii="Arial" w:hAnsi="Arial" w:cs="Arial"/>
                <w:sz w:val="22"/>
                <w:szCs w:val="22"/>
              </w:rPr>
              <w:t>Articulating and displaying learning goals, KWL, contract learning goals, etc.</w:t>
            </w:r>
          </w:p>
        </w:tc>
      </w:tr>
      <w:tr w:rsidR="0035043F" w:rsidRPr="00C11843" w:rsidTr="00C11843">
        <w:tc>
          <w:tcPr>
            <w:tcW w:w="1789" w:type="dxa"/>
            <w:shd w:val="clear" w:color="auto" w:fill="E6E6E6"/>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Generating and testing hypothesis</w:t>
            </w:r>
          </w:p>
        </w:tc>
        <w:tc>
          <w:tcPr>
            <w:tcW w:w="4166" w:type="dxa"/>
            <w:shd w:val="clear" w:color="auto" w:fill="E6E6E6"/>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Students should generate, explain, test and defend hypotheses using both inductive and deductive strategies through problem solving, history investigation, invention, experimental inquiry, and decision making.</w:t>
            </w:r>
          </w:p>
        </w:tc>
        <w:tc>
          <w:tcPr>
            <w:tcW w:w="4125" w:type="dxa"/>
            <w:shd w:val="clear" w:color="auto" w:fill="E6E6E6"/>
            <w:vAlign w:val="center"/>
          </w:tcPr>
          <w:p w:rsidR="0035043F" w:rsidRPr="00C11843" w:rsidRDefault="0035043F" w:rsidP="008702D3">
            <w:pPr>
              <w:rPr>
                <w:rFonts w:ascii="Arial" w:hAnsi="Arial" w:cs="Arial"/>
                <w:sz w:val="22"/>
                <w:szCs w:val="22"/>
              </w:rPr>
            </w:pPr>
            <w:r w:rsidRPr="00C11843">
              <w:rPr>
                <w:rFonts w:ascii="Arial" w:hAnsi="Arial" w:cs="Arial"/>
                <w:sz w:val="22"/>
                <w:szCs w:val="22"/>
              </w:rPr>
              <w:t xml:space="preserve">Thinking processes, constructivist practices, investigate, explore, social construction of knowledge, use of inductive and deductive reasoning, </w:t>
            </w:r>
            <w:r w:rsidRPr="00C11843">
              <w:rPr>
                <w:rFonts w:ascii="Arial" w:hAnsi="Arial" w:cs="Arial"/>
                <w:b/>
                <w:sz w:val="22"/>
                <w:szCs w:val="22"/>
              </w:rPr>
              <w:t xml:space="preserve">questioning the author, </w:t>
            </w:r>
            <w:r w:rsidRPr="00C11843">
              <w:rPr>
                <w:rFonts w:ascii="Arial" w:hAnsi="Arial" w:cs="Arial"/>
                <w:sz w:val="22"/>
                <w:szCs w:val="22"/>
              </w:rPr>
              <w:t>etc.</w:t>
            </w:r>
          </w:p>
        </w:tc>
      </w:tr>
      <w:tr w:rsidR="0035043F" w:rsidRPr="00C11843" w:rsidTr="00C11843">
        <w:trPr>
          <w:trHeight w:val="2393"/>
        </w:trPr>
        <w:tc>
          <w:tcPr>
            <w:tcW w:w="1789" w:type="dxa"/>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Questions, cues, and advance organizers</w:t>
            </w:r>
          </w:p>
        </w:tc>
        <w:tc>
          <w:tcPr>
            <w:tcW w:w="4166" w:type="dxa"/>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 xml:space="preserve">Teachers should use cues and questions that focus on what is important (rather than unusual), use ample </w:t>
            </w:r>
            <w:r w:rsidRPr="00C11843">
              <w:rPr>
                <w:rFonts w:ascii="Arial" w:hAnsi="Arial" w:cs="Arial"/>
                <w:iCs/>
                <w:sz w:val="22"/>
                <w:szCs w:val="22"/>
              </w:rPr>
              <w:t>wait</w:t>
            </w:r>
            <w:r w:rsidRPr="00C11843">
              <w:rPr>
                <w:rFonts w:ascii="Arial" w:hAnsi="Arial" w:cs="Arial"/>
                <w:sz w:val="22"/>
                <w:szCs w:val="22"/>
              </w:rPr>
              <w:t xml:space="preserve"> </w:t>
            </w:r>
            <w:r w:rsidRPr="00C11843">
              <w:rPr>
                <w:rFonts w:ascii="Arial" w:hAnsi="Arial" w:cs="Arial"/>
                <w:iCs/>
                <w:sz w:val="22"/>
                <w:szCs w:val="22"/>
              </w:rPr>
              <w:t>time</w:t>
            </w:r>
            <w:r w:rsidRPr="00C11843">
              <w:rPr>
                <w:rFonts w:ascii="Arial" w:hAnsi="Arial" w:cs="Arial"/>
                <w:i/>
                <w:iCs/>
                <w:sz w:val="22"/>
                <w:szCs w:val="22"/>
              </w:rPr>
              <w:t xml:space="preserve"> </w:t>
            </w:r>
            <w:r w:rsidRPr="00C11843">
              <w:rPr>
                <w:rFonts w:ascii="Arial" w:hAnsi="Arial" w:cs="Arial"/>
                <w:sz w:val="22"/>
                <w:szCs w:val="22"/>
              </w:rPr>
              <w:t>before accepting responses, eliciting inference and analysis. Advance organizers should focus on what is important and are more useful with information that is not well organized.</w:t>
            </w:r>
          </w:p>
        </w:tc>
        <w:tc>
          <w:tcPr>
            <w:tcW w:w="4125" w:type="dxa"/>
            <w:vAlign w:val="center"/>
          </w:tcPr>
          <w:p w:rsidR="0035043F" w:rsidRPr="00C11843" w:rsidRDefault="0035043F" w:rsidP="008702D3">
            <w:pPr>
              <w:rPr>
                <w:rFonts w:ascii="Arial" w:hAnsi="Arial" w:cs="Arial"/>
                <w:sz w:val="22"/>
                <w:szCs w:val="22"/>
              </w:rPr>
            </w:pPr>
            <w:r w:rsidRPr="00C11843">
              <w:rPr>
                <w:rFonts w:ascii="Arial" w:hAnsi="Arial" w:cs="Arial"/>
                <w:b/>
                <w:sz w:val="22"/>
                <w:szCs w:val="22"/>
              </w:rPr>
              <w:t xml:space="preserve">Graphic organizers, </w:t>
            </w:r>
            <w:r w:rsidRPr="00C11843">
              <w:rPr>
                <w:rFonts w:ascii="Arial" w:hAnsi="Arial" w:cs="Arial"/>
                <w:sz w:val="22"/>
                <w:szCs w:val="22"/>
              </w:rPr>
              <w:t xml:space="preserve">provide guiding questions before each lesson, </w:t>
            </w:r>
            <w:r w:rsidRPr="00C11843">
              <w:rPr>
                <w:rFonts w:ascii="Arial" w:hAnsi="Arial" w:cs="Arial"/>
                <w:b/>
                <w:sz w:val="22"/>
                <w:szCs w:val="22"/>
              </w:rPr>
              <w:t>think alouds</w:t>
            </w:r>
            <w:r w:rsidRPr="00C11843">
              <w:rPr>
                <w:rFonts w:ascii="Arial" w:hAnsi="Arial" w:cs="Arial"/>
                <w:sz w:val="22"/>
                <w:szCs w:val="22"/>
              </w:rPr>
              <w:t xml:space="preserve">, inferencing, predicting, drawing conclusions, skim chapters to identify key vocabulary, concepts and skills, </w:t>
            </w:r>
            <w:r w:rsidRPr="00C11843">
              <w:rPr>
                <w:rFonts w:ascii="Arial" w:hAnsi="Arial" w:cs="Arial"/>
                <w:b/>
                <w:sz w:val="22"/>
                <w:szCs w:val="22"/>
              </w:rPr>
              <w:t xml:space="preserve">A.C.E. anticipation guide, annotating the text, </w:t>
            </w:r>
            <w:r w:rsidRPr="00C11843">
              <w:rPr>
                <w:rFonts w:ascii="Arial" w:hAnsi="Arial" w:cs="Arial"/>
                <w:sz w:val="22"/>
                <w:szCs w:val="22"/>
              </w:rPr>
              <w:t>etc.</w:t>
            </w:r>
          </w:p>
        </w:tc>
      </w:tr>
    </w:tbl>
    <w:p w:rsidR="008A4223" w:rsidRDefault="008A4223" w:rsidP="008A4223"/>
    <w:sectPr w:rsidR="008A4223" w:rsidSect="0035043F">
      <w:headerReference w:type="default" r:id="rId6"/>
      <w:footerReference w:type="even" r:id="rId7"/>
      <w:footerReference w:type="default" r:id="rId8"/>
      <w:pgSz w:w="12240" w:h="15840"/>
      <w:pgMar w:top="720" w:right="72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843" w:rsidRDefault="00C11843">
      <w:r>
        <w:separator/>
      </w:r>
    </w:p>
  </w:endnote>
  <w:endnote w:type="continuationSeparator" w:id="0">
    <w:p w:rsidR="00C11843" w:rsidRDefault="00C11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36" w:rsidRDefault="003A6736" w:rsidP="00870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736" w:rsidRDefault="003A6736" w:rsidP="008A42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36" w:rsidRDefault="003A6736" w:rsidP="00870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FA7">
      <w:rPr>
        <w:rStyle w:val="PageNumber"/>
        <w:noProof/>
      </w:rPr>
      <w:t>1</w:t>
    </w:r>
    <w:r>
      <w:rPr>
        <w:rStyle w:val="PageNumber"/>
      </w:rPr>
      <w:fldChar w:fldCharType="end"/>
    </w:r>
  </w:p>
  <w:p w:rsidR="003A6736" w:rsidRPr="00D2564A" w:rsidRDefault="003A6736" w:rsidP="008A4223">
    <w:pPr>
      <w:pStyle w:val="Footer"/>
      <w:ind w:right="360"/>
      <w:rPr>
        <w:rFonts w:ascii="Arial" w:hAnsi="Arial" w:cs="Arial"/>
        <w:sz w:val="20"/>
        <w:szCs w:val="20"/>
      </w:rPr>
    </w:pPr>
    <w:r w:rsidRPr="00D2564A">
      <w:rPr>
        <w:rFonts w:ascii="Arial" w:hAnsi="Arial" w:cs="Arial"/>
        <w:sz w:val="20"/>
        <w:szCs w:val="20"/>
      </w:rPr>
      <w:sym w:font="Symbol" w:char="F0E3"/>
    </w:r>
    <w:r w:rsidRPr="00D2564A">
      <w:rPr>
        <w:rFonts w:ascii="Arial" w:hAnsi="Arial" w:cs="Arial"/>
        <w:sz w:val="20"/>
        <w:szCs w:val="20"/>
      </w:rPr>
      <w:t xml:space="preserve"> </w:t>
    </w:r>
    <w:r w:rsidRPr="00D2564A">
      <w:rPr>
        <w:rFonts w:ascii="Arial" w:hAnsi="Arial" w:cs="Arial"/>
        <w:i/>
        <w:sz w:val="20"/>
        <w:szCs w:val="20"/>
      </w:rPr>
      <w:t>Jim Shipley &amp; Associates, Inc.</w:t>
    </w:r>
  </w:p>
  <w:p w:rsidR="003A6736" w:rsidRPr="00D2564A" w:rsidRDefault="003A6736" w:rsidP="008A4223">
    <w:pPr>
      <w:pStyle w:val="Footer"/>
      <w:ind w:right="360"/>
      <w:rPr>
        <w:rFonts w:ascii="Arial" w:hAnsi="Arial" w:cs="Arial"/>
        <w:sz w:val="20"/>
        <w:szCs w:val="20"/>
      </w:rPr>
    </w:pPr>
    <w:r w:rsidRPr="00D2564A">
      <w:rPr>
        <w:rFonts w:ascii="Arial" w:hAnsi="Arial" w:cs="Arial"/>
        <w:sz w:val="20"/>
        <w:szCs w:val="20"/>
      </w:rPr>
      <w:t>December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843" w:rsidRDefault="00C11843">
      <w:r>
        <w:separator/>
      </w:r>
    </w:p>
  </w:footnote>
  <w:footnote w:type="continuationSeparator" w:id="0">
    <w:p w:rsidR="00C11843" w:rsidRDefault="00C11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36" w:rsidRDefault="003A6736" w:rsidP="0035043F">
    <w:pPr>
      <w:pStyle w:val="Header"/>
      <w:ind w:firstLine="360"/>
      <w:jc w:val="right"/>
    </w:pPr>
    <w:r>
      <w:rPr>
        <w:rFonts w:ascii="Arial" w:hAnsi="Arial" w:cs="Arial"/>
        <w:b/>
        <w:bCs/>
        <w:sz w:val="26"/>
        <w:szCs w:val="26"/>
        <w:u w:val="single"/>
      </w:rPr>
      <w:t xml:space="preserve">Marzano’s </w:t>
    </w:r>
    <w:r w:rsidRPr="008A24A6">
      <w:rPr>
        <w:rFonts w:ascii="Arial" w:hAnsi="Arial" w:cs="Arial"/>
        <w:b/>
        <w:bCs/>
        <w:sz w:val="26"/>
        <w:szCs w:val="26"/>
        <w:u w:val="single"/>
      </w:rPr>
      <w:t>High-Yield Instructional Strategies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grammar="clean"/>
  <w:stylePaneFormatFilter w:val="3F01"/>
  <w:defaultTabStop w:val="720"/>
  <w:characterSpacingControl w:val="doNotCompress"/>
  <w:footnotePr>
    <w:footnote w:id="-1"/>
    <w:footnote w:id="0"/>
  </w:footnotePr>
  <w:endnotePr>
    <w:endnote w:id="-1"/>
    <w:endnote w:id="0"/>
  </w:endnotePr>
  <w:compat/>
  <w:rsids>
    <w:rsidRoot w:val="008A4223"/>
    <w:rsid w:val="001514F2"/>
    <w:rsid w:val="0035043F"/>
    <w:rsid w:val="003A6736"/>
    <w:rsid w:val="004D7881"/>
    <w:rsid w:val="007D46C8"/>
    <w:rsid w:val="00801FA7"/>
    <w:rsid w:val="008702D3"/>
    <w:rsid w:val="008A4223"/>
    <w:rsid w:val="00916D82"/>
    <w:rsid w:val="00AB185E"/>
    <w:rsid w:val="00C11843"/>
    <w:rsid w:val="00CC099A"/>
    <w:rsid w:val="00D2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22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4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4223"/>
    <w:pPr>
      <w:tabs>
        <w:tab w:val="center" w:pos="4320"/>
        <w:tab w:val="right" w:pos="8640"/>
      </w:tabs>
    </w:pPr>
  </w:style>
  <w:style w:type="character" w:styleId="PageNumber">
    <w:name w:val="page number"/>
    <w:basedOn w:val="DefaultParagraphFont"/>
    <w:rsid w:val="008A4223"/>
  </w:style>
  <w:style w:type="paragraph" w:styleId="Header">
    <w:name w:val="header"/>
    <w:basedOn w:val="Normal"/>
    <w:rsid w:val="00D2564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Marzano’s High-Yield Instructional Strategies</vt:lpstr>
    </vt:vector>
  </TitlesOfParts>
  <Company>Microsoft</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Marzano’s High-Yield Instructional Strategies</dc:title>
  <dc:creator>Sulewski</dc:creator>
  <cp:lastModifiedBy>amccabe</cp:lastModifiedBy>
  <cp:revision>2</cp:revision>
  <dcterms:created xsi:type="dcterms:W3CDTF">2014-02-26T18:51:00Z</dcterms:created>
  <dcterms:modified xsi:type="dcterms:W3CDTF">2014-02-26T18:51:00Z</dcterms:modified>
</cp:coreProperties>
</file>